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f94251994eb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26129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GRADSKO SATIRIČKO KAZALIŠTE KEREMPUH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2.003.616,35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2.465.291,03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2.059.462,76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2.347.082,77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118.208,26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39.675,65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28.471,16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39.675,65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28.471,16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89.737,10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 razdoblje od 01.01.2026. do 30.06.2026. godine iskazan je višak prihoda i primitaka u iznosu od 89.737,10 EUR. Iskazani višak rezultat je ostvarenih prihoda od prodaje ulaznica, povećanog sufinanciranja Festivala Dani satire od strane Ministarstva kulture te dinamike izvršenja rashoda u izvještajnom razdoblju. U nastavku bilješki obrazložena su značajnija odstupanja prihoda i rashoda u odnosu na isto izvještajno razdoblje prethodne godine.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216,7</w:t>
            </w:r>
          </w:p>
        </w:tc>
      </w:tr>
    </w:tbl>
    <w:p>
      <w:pPr>
        <w:spacing w:before="0" w:after="0"/>
      </w:pPr>
    </w:p>
    <w:p>
      <w:r>
        <w:t xml:space="preserve">U 2026 je povećano sufinanciranje Festivala dani satire od strane Ministarstva Kulture.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377.432,63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592.921,50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157,1</w:t>
            </w:r>
          </w:p>
        </w:tc>
      </w:tr>
    </w:tbl>
    <w:p>
      <w:pPr>
        <w:spacing w:before="0" w:after="0"/>
      </w:pPr>
    </w:p>
    <w:p>
      <w:r>
        <w:t xml:space="preserve">U prvih 6. mjeseci 2026. godine održan je veći broj predstava te je prodano više ulaznica.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je ranije uplaćen predujam turističke zajednice za organizaciju festivala dani satire.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1.567.947,89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1.801.494,27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114,9</w:t>
            </w:r>
          </w:p>
        </w:tc>
      </w:tr>
    </w:tbl>
    <w:p>
      <w:pPr>
        <w:spacing w:before="0" w:after="0"/>
      </w:pPr>
    </w:p>
    <w:p>
      <w:r>
        <w:t xml:space="preserve">Uvećanje se odnosi na rast otpremnina za mirovinu i plaća za zaposlenike.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2.639,05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2026. godini iz nadležnog proračuna nije financirana kupovina nove dugotrajne nefinancijske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1.390.331,00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1.625.601,04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116,9</w:t>
            </w:r>
          </w:p>
        </w:tc>
      </w:tr>
    </w:tbl>
    <w:p>
      <w:pPr>
        <w:spacing w:before="0" w:after="0"/>
      </w:pPr>
    </w:p>
    <w:p>
      <w:r>
        <w:t xml:space="preserve">U 2026. su povećane osnovice za plaće zaposlenika i materijalna prava.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110.286,07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125.072,12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113,4</w:t>
            </w:r>
          </w:p>
        </w:tc>
      </w:tr>
    </w:tbl>
    <w:p>
      <w:pPr>
        <w:spacing w:before="0" w:after="0"/>
      </w:pPr>
    </w:p>
    <w:p>
      <w:r>
        <w:t xml:space="preserve">U 2026. su povećane su osnovice za izračun materijalnih prava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181.293,72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212.537,04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117,2</w:t>
            </w:r>
          </w:p>
        </w:tc>
      </w:tr>
    </w:tbl>
    <w:p>
      <w:pPr>
        <w:spacing w:before="0" w:after="0"/>
      </w:pPr>
    </w:p>
    <w:p>
      <w:r>
        <w:t xml:space="preserve">U 2026. su povećane osnovice za plaće zaposlenika i materijalna prava.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6.809,72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14.675,99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215,5</w:t>
            </w:r>
          </w:p>
        </w:tc>
      </w:tr>
    </w:tbl>
    <w:p>
      <w:pPr>
        <w:spacing w:before="0" w:after="0"/>
      </w:pPr>
    </w:p>
    <w:p>
      <w:r>
        <w:t xml:space="preserve">U 2026. godini je bio veći broj gostovanja.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153,2</w:t>
            </w:r>
          </w:p>
        </w:tc>
      </w:tr>
    </w:tbl>
    <w:p>
      <w:pPr>
        <w:spacing w:before="0" w:after="0"/>
      </w:pPr>
    </w:p>
    <w:p>
      <w:r>
        <w:t xml:space="preserve">U 2026. godini je bila veća potreba za dodatnim usavršavanje zaposlenika iz područja javne nabave.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1738,5</w:t>
            </w:r>
          </w:p>
        </w:tc>
      </w:tr>
    </w:tbl>
    <w:p>
      <w:pPr>
        <w:spacing w:before="0" w:after="0"/>
      </w:pPr>
    </w:p>
    <w:p>
      <w:r>
        <w:t xml:space="preserve">U 2026. godini je bilo povećanje rashoda zbog većeg broja isplata naknada za korištenje privatnog automobila u službene svrhe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24.335,56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29.167,39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119,9</w:t>
            </w:r>
          </w:p>
        </w:tc>
      </w:tr>
    </w:tbl>
    <w:p>
      <w:pPr>
        <w:spacing w:before="0" w:after="0"/>
      </w:pPr>
    </w:p>
    <w:p>
      <w:r>
        <w:t xml:space="preserve">U 2026. godini su poskupjeli energenti.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43.004,60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25.210,74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58,6</w:t>
            </w:r>
          </w:p>
        </w:tc>
      </w:tr>
    </w:tbl>
    <w:p>
      <w:pPr>
        <w:spacing w:before="0" w:after="0"/>
      </w:pPr>
    </w:p>
    <w:p>
      <w:r>
        <w:t xml:space="preserve">Umanjenje se odnosi na rashode nastale u prethodnoj godini, a odnose se na rashode za obnovu interijera zgrade kazališta, uključujući soboslikarske radove, izmjenu keramike i sanaciju sanitarnih čvorova.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2.519,39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29,4</w:t>
            </w:r>
          </w:p>
        </w:tc>
      </w:tr>
    </w:tbl>
    <w:p>
      <w:pPr>
        <w:spacing w:before="0" w:after="0"/>
      </w:pPr>
    </w:p>
    <w:p>
      <w:r>
        <w:t xml:space="preserve">U 2025. godini je nabavljena nova zaštitna obuća i odjeća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13.815,14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25.177,79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182,2</w:t>
            </w:r>
          </w:p>
        </w:tc>
      </w:tr>
    </w:tbl>
    <w:p>
      <w:pPr>
        <w:spacing w:before="0" w:after="0"/>
      </w:pPr>
    </w:p>
    <w:p>
      <w:r>
        <w:t xml:space="preserve">U 2026. godini je zbog većeg broja gostovanja bilo potrebno angažirati usluge prijevoza.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51.246,06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41.646,41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81,3</w:t>
            </w:r>
          </w:p>
        </w:tc>
      </w:tr>
    </w:tbl>
    <w:p>
      <w:pPr>
        <w:spacing w:before="0" w:after="0"/>
      </w:pPr>
    </w:p>
    <w:p>
      <w:r>
        <w:t xml:space="preserve">Umanjenje se odnosi na rashode nastale u prethodnoj godini, a odnose se na rashode za obnovu interijera zgrade kazališta, uključujući soboslikarske radove, izmjenu keramike i sanaciju sanitarnih čvorova.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27.779,19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23.899,47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86,0</w:t>
            </w:r>
          </w:p>
        </w:tc>
      </w:tr>
    </w:tbl>
    <w:p>
      <w:pPr>
        <w:spacing w:before="0" w:after="0"/>
      </w:pPr>
    </w:p>
    <w:p>
      <w:r>
        <w:t xml:space="preserve">Pad rashoda u odnosu na prethodno razdoblje rezultat je manjeg broja premijernih naslova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17.762,35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6.926,79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39,0</w:t>
            </w:r>
          </w:p>
        </w:tc>
      </w:tr>
    </w:tbl>
    <w:p>
      <w:pPr>
        <w:spacing w:before="0" w:after="0"/>
      </w:pPr>
    </w:p>
    <w:p>
      <w:r>
        <w:t xml:space="preserve">U 2025. godini je bilo potrebno sanirati skladišni prostor nakon požara u bolnici Blato.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1.578,51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162,6</w:t>
            </w:r>
          </w:p>
        </w:tc>
      </w:tr>
    </w:tbl>
    <w:p>
      <w:pPr>
        <w:spacing w:before="0" w:after="0"/>
      </w:pPr>
    </w:p>
    <w:p>
      <w:r>
        <w:t xml:space="preserve">U 2026. godini je bio veći broj gostovanja za koje je bilo potrebno unajmiti transport scenografije i glumaca.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1973,8</w:t>
            </w:r>
          </w:p>
        </w:tc>
      </w:tr>
    </w:tbl>
    <w:p>
      <w:pPr>
        <w:spacing w:before="0" w:after="0"/>
      </w:pPr>
    </w:p>
    <w:p>
      <w:r>
        <w:t xml:space="preserve">Uvećanje rashoda odnosi se na troškove obavljenih sistematskih pregleda zaposlenika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9.669,65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34.562,70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357,4</w:t>
            </w:r>
          </w:p>
        </w:tc>
      </w:tr>
    </w:tbl>
    <w:p>
      <w:pPr>
        <w:spacing w:before="0" w:after="0"/>
      </w:pPr>
    </w:p>
    <w:p>
      <w:r>
        <w:t xml:space="preserve">Povećanje rashoda u odnosu na prethodno razdoblje rezultat je ulaganja u unaprjeđenje digitalnih i informacijskih sustava kazališta. Navedeno se odnosi na nabavu nove aplikacije za validaciju ulaznica, integraciju Kulturne iskaznice, redizajn web stranice kazališta, izradu i programiranje digitalnih panela, kao i razvoj sustava upravljanja dežurstvima, adresara, ispisa naljepnica te izvještavanja za predstave.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21.878,69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17.094,47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78,1</w:t>
            </w:r>
          </w:p>
        </w:tc>
      </w:tr>
    </w:tbl>
    <w:p>
      <w:pPr>
        <w:spacing w:before="0" w:after="0"/>
      </w:pPr>
    </w:p>
    <w:p>
      <w:r>
        <w:t xml:space="preserve">Pad rashoda u odnosu na prethodno razdoblje rezultat je manjeg broja premijernih naslova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osobama izvan radnog odnosa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27.581,31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23.422,74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84,9</w:t>
            </w:r>
          </w:p>
        </w:tc>
      </w:tr>
    </w:tbl>
    <w:p>
      <w:pPr>
        <w:spacing w:before="0" w:after="0"/>
      </w:pPr>
    </w:p>
    <w:p>
      <w:r>
        <w:t xml:space="preserve">Pad rashoda odnosi se na manju potrebu za plaćanjem troškova smještaja gostujućih ansambala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2.366,55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245,9</w:t>
            </w:r>
          </w:p>
        </w:tc>
      </w:tr>
    </w:tbl>
    <w:p>
      <w:pPr>
        <w:spacing w:before="0" w:after="0"/>
      </w:pPr>
    </w:p>
    <w:p>
      <w:r>
        <w:t xml:space="preserve">Uvećanje rashoda odnosi se na rast naknada za rad članova Kazališnog vijeća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23.387,69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18.902,29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80,8</w:t>
            </w:r>
          </w:p>
        </w:tc>
      </w:tr>
    </w:tbl>
    <w:p>
      <w:pPr>
        <w:spacing w:before="0" w:after="0"/>
      </w:pPr>
    </w:p>
    <w:p>
      <w:r>
        <w:t xml:space="preserve">Pad rashoda u odnosu na prethodno razdoblje rezultat je manjeg broja premijernih naslova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183,2</w:t>
            </w:r>
          </w:p>
        </w:tc>
      </w:tr>
    </w:tbl>
    <w:p>
      <w:pPr>
        <w:spacing w:before="0" w:after="0"/>
      </w:pPr>
    </w:p>
    <w:p>
      <w:r>
        <w:t xml:space="preserve">Uvećanje rashoda odnosi se na povećanje troška članarine za Business Mastercard karticu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655,1</w:t>
            </w:r>
          </w:p>
        </w:tc>
      </w:tr>
    </w:tbl>
    <w:p>
      <w:pPr>
        <w:spacing w:before="0" w:after="0"/>
      </w:pPr>
    </w:p>
    <w:p>
      <w:r>
        <w:t xml:space="preserve">Uvećanje rashoda odnosi se na plaćanje naknade zbog neispunjavanja obveze zapošljavanja osoba s invaliditetom.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327,99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983,76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299,9</w:t>
            </w:r>
          </w:p>
        </w:tc>
      </w:tr>
    </w:tbl>
    <w:p>
      <w:pPr>
        <w:spacing w:before="0" w:after="0"/>
      </w:pPr>
    </w:p>
    <w:p>
      <w:r>
        <w:t xml:space="preserve">Povećanje rashoda odnosi se na troškove nabave cvijeća, odnosno buketa povodom odlaska radnice u mirovinu te vijenca povodom smrti bivše radnice kazališta.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2.168,93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2.998,76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138,3</w:t>
            </w:r>
          </w:p>
        </w:tc>
      </w:tr>
    </w:tbl>
    <w:p>
      <w:pPr>
        <w:spacing w:before="0" w:after="0"/>
      </w:pPr>
    </w:p>
    <w:p>
      <w:r>
        <w:t xml:space="preserve">Uvećanje rashoda odnosi se na povećane troškove bankarskih usluga i usluga platnog prometa, nastale uslijed rasta cijena navedenih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na isplatu razlike plaće po sudskoj presudi temeljem tužbe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7.290,00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na donaciju prihoda od predstave Institutu Ruđer Bošković, sukladno sklopljenom ugovoru.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Penali, ležarine i drugo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za usluge skladištenja robe prilikom uvoza.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kazne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na kaznu za parkiranje.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350.381,24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250.780,26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71,6</w:t>
            </w:r>
          </w:p>
        </w:tc>
      </w:tr>
    </w:tbl>
    <w:p>
      <w:pPr>
        <w:spacing w:before="0" w:after="0"/>
      </w:pPr>
    </w:p>
    <w:p>
      <w:r>
        <w:t xml:space="preserve">U 2026. godini je izvršena raspodjela rezultata.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7.214,40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16.904,00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234,3</w:t>
            </w:r>
          </w:p>
        </w:tc>
      </w:tr>
    </w:tbl>
    <w:p>
      <w:pPr>
        <w:spacing w:before="0" w:after="0"/>
      </w:pPr>
    </w:p>
    <w:p>
      <w:r>
        <w:t xml:space="preserve">U 2026. godini su nabavljeni veliki monitori za Foaye i oglasne prostore, nabavljen je i novi arhivski ormar.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na nabavu novog televizora za sobu tehnike.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 godini nabavljen je novi plinski kotao.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Instrumenti i uređaji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14.364,18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8.900,08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62,0</w:t>
            </w:r>
          </w:p>
        </w:tc>
      </w:tr>
    </w:tbl>
    <w:p>
      <w:pPr>
        <w:spacing w:before="0" w:after="0"/>
      </w:pPr>
    </w:p>
    <w:p>
      <w:r>
        <w:t xml:space="preserve">Rashodi se odnose na nabavu uređaja za alkotestiranje i nabavu nove tonske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16.141,95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Smanjenje rashoda rezultat je izostanka nabave opreme u tekućoj godini, dok su u istom razdoblju prethodne godine rashodi bili ostvareni za nabavu opreme za audio sustav, tonske opreme i opreme za inspicijentski pult.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Smanjenje rashoda  rezultat je izostanka nabave opreme u tekućoj godini, dok su u istom razdoblju prethodne godine rashodi bili ostvareni za nabavu nove kamere.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- preneseni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33.344,36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2026. godini izvršena je raspodjela rezultata.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Kazalište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b8910136934da2" /></Relationships>
</file>